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3" w:rsidRPr="000E2018" w:rsidRDefault="00246469" w:rsidP="000E2018">
      <w:pPr>
        <w:contextualSpacing/>
        <w:jc w:val="center"/>
        <w:rPr>
          <w:sz w:val="20"/>
          <w:szCs w:val="20"/>
        </w:rPr>
      </w:pPr>
      <w:r w:rsidRPr="000E2018">
        <w:rPr>
          <w:sz w:val="20"/>
          <w:szCs w:val="20"/>
        </w:rPr>
        <w:t>LA 11 Agenda</w:t>
      </w:r>
    </w:p>
    <w:p w:rsidR="00246469" w:rsidRDefault="00246469" w:rsidP="000E2018">
      <w:pPr>
        <w:contextualSpacing/>
        <w:jc w:val="center"/>
        <w:rPr>
          <w:sz w:val="20"/>
          <w:szCs w:val="20"/>
        </w:rPr>
      </w:pPr>
      <w:r w:rsidRPr="000E2018">
        <w:rPr>
          <w:sz w:val="20"/>
          <w:szCs w:val="20"/>
        </w:rPr>
        <w:t>Quarter 1: Encounters and Foundations</w:t>
      </w:r>
    </w:p>
    <w:p w:rsidR="000E2018" w:rsidRPr="000E2018" w:rsidRDefault="000E2018" w:rsidP="000E2018">
      <w:pPr>
        <w:contextualSpacing/>
        <w:jc w:val="center"/>
        <w:rPr>
          <w:sz w:val="20"/>
          <w:szCs w:val="20"/>
        </w:rPr>
      </w:pPr>
    </w:p>
    <w:p w:rsidR="00246469" w:rsidRPr="006D5147" w:rsidRDefault="00246469" w:rsidP="00246469">
      <w:pPr>
        <w:rPr>
          <w:sz w:val="20"/>
          <w:szCs w:val="20"/>
        </w:rPr>
      </w:pPr>
      <w:r w:rsidRPr="006D5147">
        <w:rPr>
          <w:sz w:val="20"/>
          <w:szCs w:val="20"/>
        </w:rPr>
        <w:t>You have 5 major assignments, using the Academic Blog format</w:t>
      </w:r>
      <w:r w:rsidR="006D5147" w:rsidRPr="006D5147">
        <w:rPr>
          <w:sz w:val="20"/>
          <w:szCs w:val="20"/>
        </w:rPr>
        <w:t>, minimum 300 words</w:t>
      </w:r>
      <w:r w:rsidRPr="006D5147">
        <w:rPr>
          <w:sz w:val="20"/>
          <w:szCs w:val="20"/>
        </w:rPr>
        <w:t>.  The goal of this is to present your best work on the website and open up the opportunities for you to improve your writing using feedback from your peers.</w:t>
      </w:r>
    </w:p>
    <w:p w:rsidR="00246469" w:rsidRDefault="00246469" w:rsidP="00246469">
      <w:pPr>
        <w:rPr>
          <w:sz w:val="20"/>
          <w:szCs w:val="20"/>
        </w:rPr>
      </w:pPr>
      <w:r w:rsidRPr="006D5147">
        <w:rPr>
          <w:sz w:val="20"/>
          <w:szCs w:val="20"/>
        </w:rPr>
        <w:t>Your final paper will require you to expand one of the five Academic Blogs into a 3-4 pages, typed and double-spaced essay.  MLA format is required.</w:t>
      </w:r>
    </w:p>
    <w:p w:rsidR="006F6677" w:rsidRDefault="006F6677" w:rsidP="00246469">
      <w:pPr>
        <w:rPr>
          <w:b/>
          <w:sz w:val="20"/>
          <w:szCs w:val="20"/>
        </w:rPr>
      </w:pPr>
      <w:r>
        <w:rPr>
          <w:b/>
          <w:sz w:val="20"/>
          <w:szCs w:val="20"/>
        </w:rPr>
        <w:t>Major Assessments:</w:t>
      </w:r>
    </w:p>
    <w:p w:rsidR="006F6677" w:rsidRDefault="006F6677" w:rsidP="006F6677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BLOGS—</w:t>
      </w:r>
      <w:r>
        <w:rPr>
          <w:sz w:val="20"/>
          <w:szCs w:val="20"/>
        </w:rPr>
        <w:t>Submit blogs before the next class. Pay attention to word count.  Peer response to 2 blogs.  These become rough draft paragraphs for your final essay.</w:t>
      </w:r>
    </w:p>
    <w:p w:rsidR="006F6677" w:rsidRDefault="006F6677" w:rsidP="006F6677">
      <w:pPr>
        <w:ind w:firstLine="720"/>
        <w:rPr>
          <w:sz w:val="20"/>
          <w:szCs w:val="20"/>
        </w:rPr>
      </w:pPr>
      <w:r w:rsidRPr="006F6677">
        <w:rPr>
          <w:b/>
          <w:sz w:val="20"/>
          <w:szCs w:val="20"/>
        </w:rPr>
        <w:t>Wheatley and Poetic Value Essay Prompt</w:t>
      </w:r>
      <w:r>
        <w:rPr>
          <w:sz w:val="20"/>
          <w:szCs w:val="20"/>
        </w:rPr>
        <w:t>. 500 words due Sept. 9.</w:t>
      </w:r>
      <w:r w:rsidR="00420CB6">
        <w:rPr>
          <w:sz w:val="20"/>
          <w:szCs w:val="20"/>
        </w:rPr>
        <w:t xml:space="preserve"> Typed, MLA format</w:t>
      </w:r>
    </w:p>
    <w:p w:rsidR="006F6677" w:rsidRPr="006F6677" w:rsidRDefault="006F6677" w:rsidP="0024646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Expanded Essay Blog: Due Oct. 9.</w:t>
      </w:r>
      <w:r w:rsidR="00420CB6">
        <w:rPr>
          <w:b/>
          <w:sz w:val="20"/>
          <w:szCs w:val="20"/>
        </w:rPr>
        <w:t xml:space="preserve"> </w:t>
      </w:r>
      <w:r w:rsidR="00420CB6" w:rsidRPr="00420CB6">
        <w:rPr>
          <w:sz w:val="20"/>
          <w:szCs w:val="20"/>
        </w:rPr>
        <w:t>4-5 pages, typed, MLA format.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6"/>
        <w:gridCol w:w="4318"/>
        <w:gridCol w:w="4190"/>
      </w:tblGrid>
      <w:tr w:rsidR="00DE317A" w:rsidRPr="006D5147" w:rsidTr="006F6677">
        <w:tc>
          <w:tcPr>
            <w:tcW w:w="835" w:type="pct"/>
          </w:tcPr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114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In-Class</w:t>
            </w:r>
          </w:p>
        </w:tc>
        <w:tc>
          <w:tcPr>
            <w:tcW w:w="2051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Homework</w:t>
            </w:r>
          </w:p>
        </w:tc>
      </w:tr>
      <w:tr w:rsidR="00DE317A" w:rsidRPr="006D5147" w:rsidTr="006F6677">
        <w:tc>
          <w:tcPr>
            <w:tcW w:w="835" w:type="pct"/>
          </w:tcPr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First Day</w:t>
            </w:r>
          </w:p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18</w:t>
            </w:r>
          </w:p>
        </w:tc>
        <w:tc>
          <w:tcPr>
            <w:tcW w:w="2114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“What an Essay Can Do,” Annie Dillard Handout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“Benny </w:t>
            </w:r>
            <w:proofErr w:type="spellStart"/>
            <w:r w:rsidRPr="006D5147">
              <w:rPr>
                <w:sz w:val="20"/>
                <w:szCs w:val="20"/>
              </w:rPr>
              <w:t>Paret</w:t>
            </w:r>
            <w:proofErr w:type="spellEnd"/>
            <w:r w:rsidRPr="006D5147">
              <w:rPr>
                <w:sz w:val="20"/>
                <w:szCs w:val="20"/>
              </w:rPr>
              <w:t>,” Norman Mailer Handout</w:t>
            </w:r>
          </w:p>
        </w:tc>
        <w:tc>
          <w:tcPr>
            <w:tcW w:w="2051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Identify the qualities that Dillard’s discusses in “What an Essay Can Do” in Mailer’s “Benny </w:t>
            </w:r>
            <w:proofErr w:type="spellStart"/>
            <w:r w:rsidRPr="006D5147">
              <w:rPr>
                <w:sz w:val="20"/>
                <w:szCs w:val="20"/>
              </w:rPr>
              <w:t>Paret</w:t>
            </w:r>
            <w:proofErr w:type="spellEnd"/>
            <w:r w:rsidRPr="006D5147">
              <w:rPr>
                <w:sz w:val="20"/>
                <w:szCs w:val="20"/>
              </w:rPr>
              <w:t>”</w:t>
            </w:r>
          </w:p>
        </w:tc>
      </w:tr>
      <w:tr w:rsidR="00DE317A" w:rsidRPr="006D5147" w:rsidTr="006F6677">
        <w:tc>
          <w:tcPr>
            <w:tcW w:w="835" w:type="pct"/>
          </w:tcPr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Aug. 20</w:t>
            </w: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Power of the Word: SOAPS and DIDLS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  <w:p w:rsidR="00DE317A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LA 11 Reading Assessment</w:t>
            </w:r>
          </w:p>
          <w:p w:rsidR="006F6677" w:rsidRDefault="006F6677" w:rsidP="00DE317A">
            <w:pPr>
              <w:rPr>
                <w:sz w:val="20"/>
                <w:szCs w:val="20"/>
              </w:rPr>
            </w:pPr>
          </w:p>
          <w:p w:rsidR="006F6677" w:rsidRPr="006D5147" w:rsidRDefault="006F6677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Vocabulary Assigned</w:t>
            </w:r>
          </w:p>
        </w:tc>
        <w:tc>
          <w:tcPr>
            <w:tcW w:w="2051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What areas can you continue and where can you improve your</w:t>
            </w:r>
            <w:r w:rsidR="006F6677">
              <w:rPr>
                <w:sz w:val="20"/>
                <w:szCs w:val="20"/>
              </w:rPr>
              <w:t>s learning/study</w:t>
            </w:r>
            <w:r w:rsidRPr="006D5147">
              <w:rPr>
                <w:sz w:val="20"/>
                <w:szCs w:val="20"/>
              </w:rPr>
              <w:t xml:space="preserve"> habits?</w:t>
            </w:r>
            <w:r>
              <w:rPr>
                <w:sz w:val="20"/>
                <w:szCs w:val="20"/>
              </w:rPr>
              <w:t xml:space="preserve"> Write a paragraph.</w:t>
            </w:r>
          </w:p>
        </w:tc>
      </w:tr>
      <w:tr w:rsidR="00DE317A" w:rsidRPr="006D5147" w:rsidTr="006F6677">
        <w:tc>
          <w:tcPr>
            <w:tcW w:w="835" w:type="pct"/>
          </w:tcPr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ri. Aug. 22</w:t>
            </w: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317A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Native American Traditions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E317A" w:rsidRDefault="00DE317A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Skills Assessment</w:t>
            </w:r>
          </w:p>
          <w:p w:rsidR="006F6677" w:rsidRPr="006D5147" w:rsidRDefault="006F6677" w:rsidP="00DE317A">
            <w:pPr>
              <w:rPr>
                <w:sz w:val="20"/>
                <w:szCs w:val="20"/>
              </w:rPr>
            </w:pPr>
          </w:p>
        </w:tc>
        <w:tc>
          <w:tcPr>
            <w:tcW w:w="2051" w:type="pct"/>
          </w:tcPr>
          <w:p w:rsidR="00DE317A" w:rsidRPr="006D5147" w:rsidRDefault="00DE317A" w:rsidP="00DE317A">
            <w:pPr>
              <w:rPr>
                <w:bCs/>
                <w:sz w:val="20"/>
                <w:szCs w:val="20"/>
              </w:rPr>
            </w:pPr>
            <w:proofErr w:type="spellStart"/>
            <w:r w:rsidRPr="006D5147">
              <w:rPr>
                <w:bCs/>
                <w:sz w:val="20"/>
                <w:szCs w:val="20"/>
              </w:rPr>
              <w:t>Bruchac</w:t>
            </w:r>
            <w:proofErr w:type="spellEnd"/>
            <w:r w:rsidRPr="006D5147">
              <w:rPr>
                <w:bCs/>
                <w:sz w:val="20"/>
                <w:szCs w:val="20"/>
              </w:rPr>
              <w:t xml:space="preserve"> “The Sun Still Rises in the Same Sky” and </w:t>
            </w:r>
            <w:proofErr w:type="gramStart"/>
            <w:r w:rsidRPr="006D5147">
              <w:rPr>
                <w:bCs/>
                <w:sz w:val="20"/>
                <w:szCs w:val="20"/>
              </w:rPr>
              <w:t>myths  EOL</w:t>
            </w:r>
            <w:proofErr w:type="gramEnd"/>
            <w:r w:rsidRPr="006D5147">
              <w:rPr>
                <w:bCs/>
                <w:sz w:val="20"/>
                <w:szCs w:val="20"/>
              </w:rPr>
              <w:t xml:space="preserve"> 20-26</w:t>
            </w:r>
            <w:r w:rsidR="006F6677">
              <w:rPr>
                <w:bCs/>
                <w:sz w:val="20"/>
                <w:szCs w:val="20"/>
              </w:rPr>
              <w:t>. ?s.</w:t>
            </w:r>
          </w:p>
          <w:p w:rsidR="00DE317A" w:rsidRPr="006D5147" w:rsidRDefault="00DE317A" w:rsidP="00DE317A">
            <w:pPr>
              <w:rPr>
                <w:bCs/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bCs/>
                <w:sz w:val="20"/>
                <w:szCs w:val="20"/>
              </w:rPr>
              <w:t>Identify Elements of Mythology and Values</w:t>
            </w:r>
          </w:p>
        </w:tc>
      </w:tr>
      <w:tr w:rsidR="00DE317A" w:rsidRPr="006D5147" w:rsidTr="006F6677">
        <w:tc>
          <w:tcPr>
            <w:tcW w:w="835" w:type="pct"/>
          </w:tcPr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Aug. 26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Learning Lessons Prompt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bCs/>
                <w:sz w:val="20"/>
                <w:szCs w:val="20"/>
              </w:rPr>
            </w:pPr>
            <w:r w:rsidRPr="006D5147">
              <w:rPr>
                <w:bCs/>
                <w:sz w:val="20"/>
                <w:szCs w:val="20"/>
              </w:rPr>
              <w:t>Chief Joseph “I will not fight no more” EOL 520-522: SOAPS and DIDLS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</w:tc>
        <w:tc>
          <w:tcPr>
            <w:tcW w:w="2051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proofErr w:type="spellStart"/>
            <w:r w:rsidRPr="006D5147">
              <w:rPr>
                <w:bCs/>
                <w:sz w:val="20"/>
                <w:szCs w:val="20"/>
              </w:rPr>
              <w:t>Momaday</w:t>
            </w:r>
            <w:proofErr w:type="spellEnd"/>
            <w:r w:rsidRPr="006D5147">
              <w:rPr>
                <w:bCs/>
                <w:sz w:val="20"/>
                <w:szCs w:val="20"/>
              </w:rPr>
              <w:t xml:space="preserve"> “The Way to Rainy Mountain” EOL 1092-1101.  Identify how </w:t>
            </w:r>
            <w:proofErr w:type="spellStart"/>
            <w:r w:rsidRPr="006D5147">
              <w:rPr>
                <w:bCs/>
                <w:sz w:val="20"/>
                <w:szCs w:val="20"/>
              </w:rPr>
              <w:t>Momaday</w:t>
            </w:r>
            <w:proofErr w:type="spellEnd"/>
            <w:r w:rsidRPr="006D5147">
              <w:rPr>
                <w:bCs/>
                <w:sz w:val="20"/>
                <w:szCs w:val="20"/>
              </w:rPr>
              <w:t xml:space="preserve"> creates </w:t>
            </w:r>
            <w:r w:rsidRPr="006D5147">
              <w:rPr>
                <w:sz w:val="20"/>
                <w:szCs w:val="20"/>
              </w:rPr>
              <w:t xml:space="preserve">Compare/Contrast of Past and </w:t>
            </w:r>
            <w:proofErr w:type="spellStart"/>
            <w:proofErr w:type="gramStart"/>
            <w:r w:rsidRPr="006D5147">
              <w:rPr>
                <w:sz w:val="20"/>
                <w:szCs w:val="20"/>
              </w:rPr>
              <w:t>Present.</w:t>
            </w:r>
            <w:r w:rsidR="006F6677">
              <w:rPr>
                <w:sz w:val="20"/>
                <w:szCs w:val="20"/>
              </w:rPr>
              <w:t>?s</w:t>
            </w:r>
            <w:proofErr w:type="spellEnd"/>
            <w:proofErr w:type="gramEnd"/>
            <w:r w:rsidR="006F6677">
              <w:rPr>
                <w:sz w:val="20"/>
                <w:szCs w:val="20"/>
              </w:rPr>
              <w:t>.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Momaday</w:t>
            </w:r>
            <w:proofErr w:type="spellEnd"/>
            <w:r>
              <w:rPr>
                <w:sz w:val="20"/>
                <w:szCs w:val="20"/>
              </w:rPr>
              <w:t xml:space="preserve"> Related Vocab Words</w:t>
            </w:r>
          </w:p>
        </w:tc>
      </w:tr>
      <w:tr w:rsidR="00DE317A" w:rsidRPr="006D5147" w:rsidTr="006F6677">
        <w:tc>
          <w:tcPr>
            <w:tcW w:w="835" w:type="pct"/>
          </w:tcPr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Aug. 28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proofErr w:type="spellStart"/>
            <w:r w:rsidRPr="006D5147">
              <w:rPr>
                <w:sz w:val="20"/>
                <w:szCs w:val="20"/>
              </w:rPr>
              <w:t>Momaday</w:t>
            </w:r>
            <w:proofErr w:type="spellEnd"/>
            <w:r w:rsidRPr="006D5147">
              <w:rPr>
                <w:sz w:val="20"/>
                <w:szCs w:val="20"/>
              </w:rPr>
              <w:t>: Shifting History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Encounters and Foundations Jigsaw, EOL, 6-19</w:t>
            </w:r>
          </w:p>
        </w:tc>
        <w:tc>
          <w:tcPr>
            <w:tcW w:w="2051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proofErr w:type="spellStart"/>
            <w:r w:rsidRPr="006D5147">
              <w:rPr>
                <w:sz w:val="20"/>
                <w:szCs w:val="20"/>
              </w:rPr>
              <w:t>Equiano</w:t>
            </w:r>
            <w:proofErr w:type="spellEnd"/>
            <w:r w:rsidRPr="006D5147">
              <w:rPr>
                <w:sz w:val="20"/>
                <w:szCs w:val="20"/>
              </w:rPr>
              <w:t xml:space="preserve"> “The Interesting Narrative of the life of </w:t>
            </w:r>
            <w:proofErr w:type="spellStart"/>
            <w:r w:rsidRPr="006D5147">
              <w:rPr>
                <w:sz w:val="20"/>
                <w:szCs w:val="20"/>
              </w:rPr>
              <w:t>Olaudah</w:t>
            </w:r>
            <w:proofErr w:type="spellEnd"/>
            <w:r w:rsidRPr="006D5147">
              <w:rPr>
                <w:sz w:val="20"/>
                <w:szCs w:val="20"/>
              </w:rPr>
              <w:t xml:space="preserve"> </w:t>
            </w:r>
            <w:proofErr w:type="spellStart"/>
            <w:r w:rsidRPr="006D5147">
              <w:rPr>
                <w:sz w:val="20"/>
                <w:szCs w:val="20"/>
              </w:rPr>
              <w:t>Equiano</w:t>
            </w:r>
            <w:proofErr w:type="spellEnd"/>
            <w:r w:rsidRPr="006D5147">
              <w:rPr>
                <w:sz w:val="20"/>
                <w:szCs w:val="20"/>
              </w:rPr>
              <w:t>” EOL 52-61</w:t>
            </w:r>
            <w:r w:rsidR="006F6677">
              <w:rPr>
                <w:sz w:val="20"/>
                <w:szCs w:val="20"/>
              </w:rPr>
              <w:t>. ?s.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Equiano</w:t>
            </w:r>
            <w:proofErr w:type="spellEnd"/>
            <w:r>
              <w:rPr>
                <w:sz w:val="20"/>
                <w:szCs w:val="20"/>
              </w:rPr>
              <w:t xml:space="preserve"> Vocabulary Concept Map</w:t>
            </w:r>
          </w:p>
        </w:tc>
      </w:tr>
      <w:tr w:rsidR="00DE317A" w:rsidRPr="006D5147" w:rsidTr="006F6677">
        <w:tc>
          <w:tcPr>
            <w:tcW w:w="835" w:type="pct"/>
          </w:tcPr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Sept. 1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317A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Autobiography as Historical Record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Wheatley Poetry Groups</w:t>
            </w:r>
            <w:r w:rsidR="001203B3">
              <w:rPr>
                <w:sz w:val="20"/>
                <w:szCs w:val="20"/>
              </w:rPr>
              <w:t>: Goggle Docs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1203B3" w:rsidRPr="006D5147" w:rsidRDefault="001203B3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Analysis Sample</w:t>
            </w:r>
          </w:p>
        </w:tc>
        <w:tc>
          <w:tcPr>
            <w:tcW w:w="2051" w:type="pct"/>
          </w:tcPr>
          <w:p w:rsidR="00DE317A" w:rsidRDefault="00DE317A" w:rsidP="00DE31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Momaday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Equiano</w:t>
            </w:r>
            <w:proofErr w:type="spellEnd"/>
            <w:r>
              <w:rPr>
                <w:sz w:val="20"/>
                <w:szCs w:val="20"/>
              </w:rPr>
              <w:t xml:space="preserve"> Vocab Quiz next class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E317A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Read </w:t>
            </w:r>
            <w:proofErr w:type="spellStart"/>
            <w:r w:rsidRPr="006D5147">
              <w:rPr>
                <w:sz w:val="20"/>
                <w:szCs w:val="20"/>
              </w:rPr>
              <w:t>Phillis</w:t>
            </w:r>
            <w:proofErr w:type="spellEnd"/>
            <w:r w:rsidRPr="006D5147">
              <w:rPr>
                <w:sz w:val="20"/>
                <w:szCs w:val="20"/>
              </w:rPr>
              <w:t xml:space="preserve"> Wheatley poetry—Handout </w:t>
            </w:r>
          </w:p>
          <w:p w:rsidR="006F6677" w:rsidRPr="006D5147" w:rsidRDefault="006F6677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SOAPS and DIDLS Wheatley Poetry Analysis on 2 poems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</w:tc>
      </w:tr>
      <w:tr w:rsidR="00DE317A" w:rsidRPr="006D5147" w:rsidTr="006F6677">
        <w:tc>
          <w:tcPr>
            <w:tcW w:w="835" w:type="pct"/>
          </w:tcPr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Sept. 3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1203B3" w:rsidRDefault="001203B3" w:rsidP="001203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Momaday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Equiano</w:t>
            </w:r>
            <w:proofErr w:type="spellEnd"/>
            <w:r>
              <w:rPr>
                <w:sz w:val="20"/>
                <w:szCs w:val="20"/>
              </w:rPr>
              <w:t xml:space="preserve"> Vocab Quiz</w:t>
            </w:r>
          </w:p>
          <w:p w:rsidR="001203B3" w:rsidRDefault="001203B3" w:rsidP="00DE317A">
            <w:pPr>
              <w:rPr>
                <w:sz w:val="20"/>
                <w:szCs w:val="20"/>
              </w:rPr>
            </w:pPr>
          </w:p>
          <w:p w:rsidR="00DE317A" w:rsidRPr="006D5147" w:rsidRDefault="001203B3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Expectations and Stereotypes </w:t>
            </w:r>
            <w:r>
              <w:rPr>
                <w:sz w:val="20"/>
                <w:szCs w:val="20"/>
              </w:rPr>
              <w:t>:</w:t>
            </w:r>
            <w:r w:rsidR="00DE317A" w:rsidRPr="006D5147">
              <w:rPr>
                <w:sz w:val="20"/>
                <w:szCs w:val="20"/>
              </w:rPr>
              <w:t>“The Negro Artist and the Racial Mountain,” Langston Hughes—</w:t>
            </w:r>
            <w:r w:rsidR="00DE317A">
              <w:rPr>
                <w:sz w:val="20"/>
                <w:szCs w:val="20"/>
              </w:rPr>
              <w:t>Marking the Text (Link)</w:t>
            </w:r>
          </w:p>
        </w:tc>
        <w:tc>
          <w:tcPr>
            <w:tcW w:w="2051" w:type="pct"/>
          </w:tcPr>
          <w:p w:rsidR="00DE317A" w:rsidRPr="006D5147" w:rsidRDefault="006F6677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Essay Quotes—Hughes Evidence about poetic value and judgments.</w:t>
            </w:r>
          </w:p>
        </w:tc>
      </w:tr>
      <w:tr w:rsidR="00DE317A" w:rsidRPr="006D5147" w:rsidTr="006F6677">
        <w:tc>
          <w:tcPr>
            <w:tcW w:w="835" w:type="pct"/>
          </w:tcPr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ri. Sept. 5</w:t>
            </w:r>
          </w:p>
        </w:tc>
        <w:tc>
          <w:tcPr>
            <w:tcW w:w="2114" w:type="pct"/>
          </w:tcPr>
          <w:p w:rsidR="006F6677" w:rsidRDefault="001203B3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Poetic Value and Societal Judgment</w:t>
            </w:r>
            <w:r>
              <w:rPr>
                <w:sz w:val="20"/>
                <w:szCs w:val="20"/>
              </w:rPr>
              <w:t xml:space="preserve">: </w:t>
            </w:r>
            <w:r w:rsidR="00DE317A" w:rsidRPr="006D5147">
              <w:rPr>
                <w:sz w:val="20"/>
                <w:szCs w:val="20"/>
              </w:rPr>
              <w:t>“</w:t>
            </w:r>
            <w:proofErr w:type="spellStart"/>
            <w:r w:rsidR="00DE317A" w:rsidRPr="006D5147">
              <w:rPr>
                <w:sz w:val="20"/>
                <w:szCs w:val="20"/>
              </w:rPr>
              <w:t>Philis</w:t>
            </w:r>
            <w:proofErr w:type="spellEnd"/>
            <w:r w:rsidR="00DE317A" w:rsidRPr="006D5147">
              <w:rPr>
                <w:sz w:val="20"/>
                <w:szCs w:val="20"/>
              </w:rPr>
              <w:t xml:space="preserve"> Wheatley on Tria</w:t>
            </w:r>
            <w:r w:rsidR="00DE317A">
              <w:rPr>
                <w:sz w:val="20"/>
                <w:szCs w:val="20"/>
              </w:rPr>
              <w:t xml:space="preserve">l,” Henry Louis Gates. </w:t>
            </w:r>
          </w:p>
          <w:p w:rsidR="00DE317A" w:rsidRPr="006D5147" w:rsidRDefault="006F6677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AVID Handout—key quotes/evidence</w:t>
            </w:r>
          </w:p>
        </w:tc>
        <w:tc>
          <w:tcPr>
            <w:tcW w:w="2051" w:type="pct"/>
          </w:tcPr>
          <w:p w:rsidR="00DE317A" w:rsidRPr="006D5147" w:rsidRDefault="006F6677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Wheatley and Poetic </w:t>
            </w:r>
            <w:proofErr w:type="gramStart"/>
            <w:r>
              <w:rPr>
                <w:sz w:val="20"/>
                <w:szCs w:val="20"/>
              </w:rPr>
              <w:t>Value</w:t>
            </w:r>
            <w:r w:rsidR="00DE317A" w:rsidRPr="006D51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Essay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E317A" w:rsidRPr="006D5147">
              <w:rPr>
                <w:sz w:val="20"/>
                <w:szCs w:val="20"/>
              </w:rPr>
              <w:t>Prompt</w:t>
            </w:r>
            <w:r>
              <w:rPr>
                <w:sz w:val="20"/>
                <w:szCs w:val="20"/>
              </w:rPr>
              <w:t>. 500 words due Sept. 9.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</w:tc>
      </w:tr>
      <w:tr w:rsidR="00DE317A" w:rsidRPr="006D5147" w:rsidTr="006F6677">
        <w:tc>
          <w:tcPr>
            <w:tcW w:w="835" w:type="pct"/>
          </w:tcPr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Tues. Sept. 9</w:t>
            </w:r>
          </w:p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1203B3" w:rsidRDefault="001203B3" w:rsidP="001203B3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Puritan Beliefs: Order for an Early Society</w:t>
            </w:r>
            <w:r>
              <w:rPr>
                <w:sz w:val="20"/>
                <w:szCs w:val="20"/>
              </w:rPr>
              <w:t>: “Sinners in the Hands of an Angry God”—Guided Reading Logos, Ethos and Pathos</w:t>
            </w:r>
          </w:p>
          <w:p w:rsidR="001203B3" w:rsidRDefault="001203B3" w:rsidP="00DE317A">
            <w:pPr>
              <w:rPr>
                <w:sz w:val="20"/>
                <w:szCs w:val="20"/>
              </w:rPr>
            </w:pPr>
          </w:p>
          <w:p w:rsidR="005059C6" w:rsidRDefault="005059C6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Edwards Tone Paragraph Teacher Example</w:t>
            </w:r>
          </w:p>
          <w:p w:rsidR="005059C6" w:rsidRDefault="005059C6" w:rsidP="00DE317A">
            <w:pPr>
              <w:rPr>
                <w:sz w:val="20"/>
                <w:szCs w:val="20"/>
              </w:rPr>
            </w:pPr>
          </w:p>
          <w:p w:rsidR="00DE317A" w:rsidRPr="001203B3" w:rsidRDefault="00DE317A" w:rsidP="00DE317A">
            <w:pPr>
              <w:rPr>
                <w:sz w:val="16"/>
                <w:szCs w:val="16"/>
              </w:rPr>
            </w:pPr>
            <w:r w:rsidRPr="006D5147">
              <w:rPr>
                <w:sz w:val="20"/>
                <w:szCs w:val="20"/>
              </w:rPr>
              <w:t>B</w:t>
            </w:r>
            <w:r w:rsidR="001203B3">
              <w:rPr>
                <w:sz w:val="20"/>
                <w:szCs w:val="20"/>
              </w:rPr>
              <w:t>radstreet Expert Group Work-PowerPoint and Class Activity—Types of Appeals—Logos, Pathos, and Ethos</w:t>
            </w:r>
          </w:p>
        </w:tc>
        <w:tc>
          <w:tcPr>
            <w:tcW w:w="2051" w:type="pct"/>
          </w:tcPr>
          <w:p w:rsidR="00DE317A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Anne Bradstreet Poetry Expert Groups:  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all 4 poems to be prepared for discussion</w:t>
            </w:r>
          </w:p>
          <w:p w:rsidR="001203B3" w:rsidRDefault="001203B3" w:rsidP="00DE317A">
            <w:pPr>
              <w:rPr>
                <w:sz w:val="20"/>
                <w:szCs w:val="20"/>
              </w:rPr>
            </w:pPr>
          </w:p>
          <w:p w:rsidR="001203B3" w:rsidRDefault="001203B3" w:rsidP="001203B3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Puritan Art Blog</w:t>
            </w:r>
            <w:r w:rsidR="006F6677">
              <w:rPr>
                <w:sz w:val="20"/>
                <w:szCs w:val="20"/>
              </w:rPr>
              <w:t>. 300 words.</w:t>
            </w:r>
          </w:p>
          <w:p w:rsidR="001203B3" w:rsidRDefault="001203B3" w:rsidP="00DE317A">
            <w:pPr>
              <w:rPr>
                <w:sz w:val="20"/>
                <w:szCs w:val="20"/>
              </w:rPr>
            </w:pPr>
          </w:p>
          <w:p w:rsidR="001203B3" w:rsidRPr="006D5147" w:rsidRDefault="001203B3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Edwards Vocab Concept Map</w:t>
            </w:r>
          </w:p>
        </w:tc>
      </w:tr>
      <w:tr w:rsidR="00DE317A" w:rsidRPr="006D5147" w:rsidTr="006F6677">
        <w:tc>
          <w:tcPr>
            <w:tcW w:w="835" w:type="pct"/>
          </w:tcPr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Sept. 11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Sept 12</w:t>
            </w: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(no school)</w:t>
            </w:r>
          </w:p>
        </w:tc>
        <w:tc>
          <w:tcPr>
            <w:tcW w:w="2114" w:type="pct"/>
          </w:tcPr>
          <w:p w:rsidR="00DE317A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Bradstreet Poetry Expert </w:t>
            </w:r>
            <w:r>
              <w:rPr>
                <w:sz w:val="20"/>
                <w:szCs w:val="20"/>
              </w:rPr>
              <w:t>Group</w:t>
            </w:r>
            <w:r w:rsidRPr="006D5147">
              <w:rPr>
                <w:sz w:val="20"/>
                <w:szCs w:val="20"/>
              </w:rPr>
              <w:t xml:space="preserve"> Presentations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Paragraph Sample</w:t>
            </w:r>
          </w:p>
        </w:tc>
        <w:tc>
          <w:tcPr>
            <w:tcW w:w="2051" w:type="pct"/>
          </w:tcPr>
          <w:p w:rsidR="001203B3" w:rsidRPr="006D5147" w:rsidRDefault="001203B3" w:rsidP="001203B3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Henry, “Speech to the Virginia Convention,” EOL, 80-85  </w:t>
            </w:r>
          </w:p>
          <w:p w:rsidR="001203B3" w:rsidRDefault="001203B3" w:rsidP="001203B3">
            <w:pPr>
              <w:rPr>
                <w:sz w:val="20"/>
                <w:szCs w:val="20"/>
              </w:rPr>
            </w:pPr>
          </w:p>
          <w:p w:rsidR="00DE317A" w:rsidRPr="006D5147" w:rsidRDefault="001203B3" w:rsidP="0012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Vocab Concept Maps</w:t>
            </w:r>
          </w:p>
        </w:tc>
      </w:tr>
      <w:tr w:rsidR="00DE317A" w:rsidRPr="006D5147" w:rsidTr="006F6677">
        <w:tc>
          <w:tcPr>
            <w:tcW w:w="835" w:type="pct"/>
          </w:tcPr>
          <w:p w:rsidR="00DE317A" w:rsidRPr="009B6AAB" w:rsidRDefault="001203B3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Sept. 16</w:t>
            </w: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1203B3" w:rsidRDefault="001203B3" w:rsidP="001203B3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Emerging Patriotism and Revolution</w:t>
            </w:r>
            <w:r w:rsidR="005059C6">
              <w:rPr>
                <w:sz w:val="20"/>
                <w:szCs w:val="20"/>
              </w:rPr>
              <w:t>:</w:t>
            </w:r>
          </w:p>
          <w:p w:rsidR="00DE317A" w:rsidRPr="006D5147" w:rsidRDefault="001203B3" w:rsidP="0012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Henry: SOAPS and DIDLS and Diction Activity</w:t>
            </w:r>
          </w:p>
        </w:tc>
        <w:tc>
          <w:tcPr>
            <w:tcW w:w="2051" w:type="pct"/>
          </w:tcPr>
          <w:p w:rsidR="00DE317A" w:rsidRDefault="001203B3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Tone Vocab Paragraph Blog</w:t>
            </w:r>
            <w:r w:rsidR="006F6677">
              <w:rPr>
                <w:sz w:val="20"/>
                <w:szCs w:val="20"/>
              </w:rPr>
              <w:t>. 300 words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</w:tc>
      </w:tr>
      <w:tr w:rsidR="00DE317A" w:rsidRPr="006D5147" w:rsidTr="006F6677">
        <w:tc>
          <w:tcPr>
            <w:tcW w:w="835" w:type="pct"/>
          </w:tcPr>
          <w:p w:rsidR="001203B3" w:rsidRDefault="001203B3" w:rsidP="0012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Sept. 18</w:t>
            </w: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317A" w:rsidRPr="006D5147" w:rsidRDefault="001203B3" w:rsidP="00420CB6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Paine, “The Crisis, No. 1,” EOL, 87-95, </w:t>
            </w:r>
            <w:r w:rsidR="00420CB6">
              <w:rPr>
                <w:sz w:val="20"/>
                <w:szCs w:val="20"/>
              </w:rPr>
              <w:t>Paragraphs Analysis</w:t>
            </w:r>
          </w:p>
        </w:tc>
        <w:tc>
          <w:tcPr>
            <w:tcW w:w="2051" w:type="pct"/>
          </w:tcPr>
          <w:p w:rsidR="00DE317A" w:rsidRPr="006D5147" w:rsidRDefault="00DE317A" w:rsidP="004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Paine</w:t>
            </w:r>
            <w:r w:rsidRPr="006D5147">
              <w:rPr>
                <w:sz w:val="20"/>
                <w:szCs w:val="20"/>
              </w:rPr>
              <w:t xml:space="preserve"> </w:t>
            </w:r>
            <w:r w:rsidR="00420CB6">
              <w:rPr>
                <w:sz w:val="20"/>
                <w:szCs w:val="20"/>
              </w:rPr>
              <w:t>Graphic Organizer of 5 paragraphs</w:t>
            </w:r>
          </w:p>
        </w:tc>
      </w:tr>
      <w:tr w:rsidR="00DE317A" w:rsidRPr="006D5147" w:rsidTr="006F6677">
        <w:tc>
          <w:tcPr>
            <w:tcW w:w="835" w:type="pct"/>
          </w:tcPr>
          <w:p w:rsidR="005059C6" w:rsidRDefault="005059C6" w:rsidP="0050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on. Sept. 22</w:t>
            </w:r>
          </w:p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317A" w:rsidRDefault="001203B3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Up Letter Activity</w:t>
            </w:r>
          </w:p>
          <w:p w:rsidR="001203B3" w:rsidRDefault="001203B3" w:rsidP="00DE317A">
            <w:pPr>
              <w:rPr>
                <w:sz w:val="20"/>
                <w:szCs w:val="20"/>
              </w:rPr>
            </w:pPr>
          </w:p>
          <w:p w:rsidR="001203B3" w:rsidRPr="006D5147" w:rsidRDefault="001203B3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Jefferson, “Declaration of Independence,” EOL, 100-107, SOAPS and DIDLS</w:t>
            </w:r>
          </w:p>
        </w:tc>
        <w:tc>
          <w:tcPr>
            <w:tcW w:w="2051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REVOLUTIONARY ART BLOG</w:t>
            </w:r>
            <w:r w:rsidR="006F6677">
              <w:rPr>
                <w:sz w:val="20"/>
                <w:szCs w:val="20"/>
              </w:rPr>
              <w:t>. 300 words.</w:t>
            </w:r>
          </w:p>
        </w:tc>
      </w:tr>
      <w:tr w:rsidR="00DE317A" w:rsidRPr="006D5147" w:rsidTr="006F6677">
        <w:tc>
          <w:tcPr>
            <w:tcW w:w="835" w:type="pct"/>
          </w:tcPr>
          <w:p w:rsidR="005059C6" w:rsidRDefault="005059C6" w:rsidP="0050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Sept. 24</w:t>
            </w:r>
          </w:p>
          <w:p w:rsidR="00DE317A" w:rsidRDefault="00DE317A" w:rsidP="00505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317A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Words for Revolution and Political Goals</w:t>
            </w:r>
            <w:r>
              <w:rPr>
                <w:sz w:val="20"/>
                <w:szCs w:val="20"/>
              </w:rPr>
              <w:t>: Vocab of Henry, Paine, and Jefferson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Banneker and Jefferson Letters</w:t>
            </w:r>
          </w:p>
        </w:tc>
        <w:tc>
          <w:tcPr>
            <w:tcW w:w="2051" w:type="pct"/>
          </w:tcPr>
          <w:p w:rsidR="00DE317A" w:rsidRDefault="00DE317A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Column Chart: Identify I</w:t>
            </w:r>
            <w:r w:rsidR="00420CB6">
              <w:rPr>
                <w:sz w:val="20"/>
                <w:szCs w:val="20"/>
              </w:rPr>
              <w:t>ssues Identify Banneker’s/Jefferson’s Claims and</w:t>
            </w:r>
            <w:bookmarkStart w:id="0" w:name="_GoBack"/>
            <w:bookmarkEnd w:id="0"/>
            <w:r w:rsidR="00420CB6">
              <w:rPr>
                <w:sz w:val="20"/>
                <w:szCs w:val="20"/>
              </w:rPr>
              <w:t xml:space="preserve"> Counterarguments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E317A" w:rsidRDefault="00DE317A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Edwards, Henry, Paine, Jefferson vocab.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next class</w:t>
            </w:r>
          </w:p>
        </w:tc>
      </w:tr>
      <w:tr w:rsidR="00DE317A" w:rsidRPr="006D5147" w:rsidTr="006F6677">
        <w:tc>
          <w:tcPr>
            <w:tcW w:w="835" w:type="pct"/>
          </w:tcPr>
          <w:p w:rsidR="005059C6" w:rsidRDefault="005059C6" w:rsidP="0050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Sept. 26</w:t>
            </w:r>
          </w:p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317A" w:rsidRDefault="00DE317A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Quiz</w:t>
            </w:r>
          </w:p>
          <w:p w:rsidR="005059C6" w:rsidRDefault="005059C6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Banneker and Jefferson: Addressing Claims and Counterarguments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Comparative Texts: </w:t>
            </w:r>
            <w:proofErr w:type="spellStart"/>
            <w:r w:rsidRPr="006D5147">
              <w:rPr>
                <w:sz w:val="20"/>
                <w:szCs w:val="20"/>
              </w:rPr>
              <w:t>Dekanawida</w:t>
            </w:r>
            <w:proofErr w:type="spellEnd"/>
            <w:r w:rsidRPr="006D5147">
              <w:rPr>
                <w:sz w:val="20"/>
                <w:szCs w:val="20"/>
              </w:rPr>
              <w:t>, Adams, and Stanton, EOL, 108-114</w:t>
            </w:r>
          </w:p>
        </w:tc>
        <w:tc>
          <w:tcPr>
            <w:tcW w:w="2051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Banneker and Jefferson Blog</w:t>
            </w:r>
            <w:r w:rsidR="006F6677">
              <w:rPr>
                <w:sz w:val="20"/>
                <w:szCs w:val="20"/>
              </w:rPr>
              <w:t>.300 words.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E317A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Thoreau, “Resistance to Civil Government,” EOL, 234-241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Thoreau Vocabulary Concept Map</w:t>
            </w:r>
          </w:p>
        </w:tc>
      </w:tr>
      <w:tr w:rsidR="00DE317A" w:rsidRPr="006D5147" w:rsidTr="006F6677">
        <w:tc>
          <w:tcPr>
            <w:tcW w:w="835" w:type="pct"/>
          </w:tcPr>
          <w:p w:rsidR="005059C6" w:rsidRDefault="005059C6" w:rsidP="0050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Sept. 30</w:t>
            </w:r>
          </w:p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Civil Disobedience: Citizen Power and Civil Rights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Gandhi, “On Nonviolent Resistance,” EOL, 243-244 and King Jr. “Letter from Birmingham,” EOL, 245-247</w:t>
            </w:r>
          </w:p>
        </w:tc>
        <w:tc>
          <w:tcPr>
            <w:tcW w:w="2051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DECLARATION FOR THE WORLD--DUELING BLOG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E317A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Read </w:t>
            </w:r>
            <w:r w:rsidRPr="006D5147">
              <w:rPr>
                <w:i/>
                <w:sz w:val="20"/>
                <w:szCs w:val="20"/>
              </w:rPr>
              <w:t>The Crucible</w:t>
            </w:r>
            <w:r w:rsidRPr="006D5147">
              <w:rPr>
                <w:sz w:val="20"/>
                <w:szCs w:val="20"/>
              </w:rPr>
              <w:t>, Miller, 3-8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Expanded Blog Essay: Select one of the five blogs to expand to a 3-4 pages, typed and double s</w:t>
            </w:r>
            <w:r w:rsidR="00DD3905">
              <w:rPr>
                <w:sz w:val="20"/>
                <w:szCs w:val="20"/>
              </w:rPr>
              <w:t>paced essay.  Due Thurs. Oct. 9 midnight</w:t>
            </w:r>
            <w:r>
              <w:rPr>
                <w:sz w:val="20"/>
                <w:szCs w:val="20"/>
              </w:rPr>
              <w:t>. Use at least 10 vocabulary words from unit and underline</w:t>
            </w:r>
            <w:r w:rsidR="00DD3905">
              <w:rPr>
                <w:sz w:val="20"/>
                <w:szCs w:val="20"/>
              </w:rPr>
              <w:t>/bold</w:t>
            </w:r>
            <w:r>
              <w:rPr>
                <w:sz w:val="20"/>
                <w:szCs w:val="20"/>
              </w:rPr>
              <w:t xml:space="preserve"> in your paper.  Send to </w:t>
            </w:r>
            <w:hyperlink r:id="rId4" w:history="1">
              <w:r w:rsidRPr="00FA4C51">
                <w:rPr>
                  <w:rStyle w:val="Hyperlink"/>
                  <w:sz w:val="20"/>
                  <w:szCs w:val="20"/>
                </w:rPr>
                <w:t>afnorthliterature@gmail.com</w:t>
              </w:r>
            </w:hyperlink>
            <w:r w:rsidR="00DD3905">
              <w:rPr>
                <w:sz w:val="20"/>
                <w:szCs w:val="20"/>
              </w:rPr>
              <w:t xml:space="preserve"> </w:t>
            </w:r>
          </w:p>
        </w:tc>
      </w:tr>
      <w:tr w:rsidR="00DE317A" w:rsidRPr="006D5147" w:rsidTr="006F6677">
        <w:tc>
          <w:tcPr>
            <w:tcW w:w="835" w:type="pct"/>
          </w:tcPr>
          <w:p w:rsidR="005059C6" w:rsidRDefault="005059C6" w:rsidP="0050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Oct. 2</w:t>
            </w:r>
          </w:p>
          <w:p w:rsidR="005059C6" w:rsidRDefault="005059C6" w:rsidP="0050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Oct. 3 (no school)</w:t>
            </w:r>
          </w:p>
          <w:p w:rsidR="00DE317A" w:rsidRPr="009B6AAB" w:rsidRDefault="00DE317A" w:rsidP="00505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i/>
                <w:sz w:val="20"/>
                <w:szCs w:val="20"/>
              </w:rPr>
              <w:t>The Crucible</w:t>
            </w:r>
            <w:r w:rsidRPr="006D5147">
              <w:rPr>
                <w:sz w:val="20"/>
                <w:szCs w:val="20"/>
              </w:rPr>
              <w:t>, Miller, 3-8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Commentary and Drama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Acting Initial Conflict: 8-22</w:t>
            </w:r>
          </w:p>
        </w:tc>
        <w:tc>
          <w:tcPr>
            <w:tcW w:w="2051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Read </w:t>
            </w:r>
            <w:r w:rsidRPr="006D5147">
              <w:rPr>
                <w:i/>
                <w:sz w:val="20"/>
                <w:szCs w:val="20"/>
              </w:rPr>
              <w:t xml:space="preserve">The Crucible, </w:t>
            </w:r>
            <w:r w:rsidRPr="006D5147">
              <w:rPr>
                <w:sz w:val="20"/>
                <w:szCs w:val="20"/>
              </w:rPr>
              <w:t>Act 1, Miller, 22-51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D3905" w:rsidRPr="006D5147" w:rsidRDefault="00DD3905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Expanded Essay Blog due midnight Thurs. Oct. 9 </w:t>
            </w:r>
            <w:hyperlink r:id="rId5" w:history="1">
              <w:r w:rsidRPr="00FA4C51">
                <w:rPr>
                  <w:rStyle w:val="Hyperlink"/>
                  <w:sz w:val="20"/>
                  <w:szCs w:val="20"/>
                </w:rPr>
                <w:t>afnorthliterature@gmail.com</w:t>
              </w:r>
            </w:hyperlink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</w:tc>
      </w:tr>
      <w:tr w:rsidR="00DE317A" w:rsidRPr="006D5147" w:rsidTr="006F6677">
        <w:tc>
          <w:tcPr>
            <w:tcW w:w="835" w:type="pct"/>
          </w:tcPr>
          <w:p w:rsidR="005059C6" w:rsidRDefault="005059C6" w:rsidP="0050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Oct. 7</w:t>
            </w:r>
          </w:p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7A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317A" w:rsidRPr="006D5147" w:rsidRDefault="00DE317A" w:rsidP="00DE317A">
            <w:pPr>
              <w:rPr>
                <w:i/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Conflicts: Religion, Politics, and Persecution in Act 1, </w:t>
            </w:r>
            <w:r w:rsidRPr="006D5147">
              <w:rPr>
                <w:i/>
                <w:sz w:val="20"/>
                <w:szCs w:val="20"/>
              </w:rPr>
              <w:t>The Crucible</w:t>
            </w:r>
          </w:p>
        </w:tc>
        <w:tc>
          <w:tcPr>
            <w:tcW w:w="2051" w:type="pct"/>
          </w:tcPr>
          <w:p w:rsidR="00DE317A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Read </w:t>
            </w:r>
            <w:r w:rsidRPr="006D5147">
              <w:rPr>
                <w:i/>
                <w:sz w:val="20"/>
                <w:szCs w:val="20"/>
              </w:rPr>
              <w:t>The Crucible,</w:t>
            </w:r>
            <w:r w:rsidRPr="006D5147">
              <w:rPr>
                <w:sz w:val="20"/>
                <w:szCs w:val="20"/>
              </w:rPr>
              <w:t xml:space="preserve"> Act 2, Miller, 52-86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D3905" w:rsidP="00DD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Expanded </w:t>
            </w:r>
            <w:r w:rsidR="00DE317A">
              <w:rPr>
                <w:sz w:val="20"/>
                <w:szCs w:val="20"/>
              </w:rPr>
              <w:t>Essay</w:t>
            </w:r>
            <w:r>
              <w:rPr>
                <w:sz w:val="20"/>
                <w:szCs w:val="20"/>
              </w:rPr>
              <w:t xml:space="preserve"> Blog due midnight Thurs. Oct. 9 </w:t>
            </w:r>
            <w:hyperlink r:id="rId6" w:history="1">
              <w:r w:rsidR="00DE317A" w:rsidRPr="00FA4C51">
                <w:rPr>
                  <w:rStyle w:val="Hyperlink"/>
                  <w:sz w:val="20"/>
                  <w:szCs w:val="20"/>
                </w:rPr>
                <w:t>afnorthliterature@gmail.com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E317A" w:rsidRPr="006D5147" w:rsidTr="006F6677">
        <w:tc>
          <w:tcPr>
            <w:tcW w:w="835" w:type="pct"/>
          </w:tcPr>
          <w:p w:rsidR="005059C6" w:rsidRDefault="005059C6" w:rsidP="0050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Oct. 9</w:t>
            </w:r>
          </w:p>
          <w:p w:rsidR="00DE317A" w:rsidRPr="009B6AAB" w:rsidRDefault="00DE317A" w:rsidP="00505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The Role of the Court and False Accusations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Acting</w:t>
            </w:r>
            <w:r w:rsidRPr="006D5147">
              <w:rPr>
                <w:sz w:val="20"/>
                <w:szCs w:val="20"/>
              </w:rPr>
              <w:t xml:space="preserve"> Court, </w:t>
            </w:r>
            <w:r w:rsidRPr="006D5147">
              <w:rPr>
                <w:i/>
                <w:sz w:val="20"/>
                <w:szCs w:val="20"/>
              </w:rPr>
              <w:t>The Crucible</w:t>
            </w:r>
            <w:r w:rsidRPr="006D5147">
              <w:rPr>
                <w:sz w:val="20"/>
                <w:szCs w:val="20"/>
              </w:rPr>
              <w:t>, Act 3, 87-126</w:t>
            </w:r>
          </w:p>
        </w:tc>
        <w:tc>
          <w:tcPr>
            <w:tcW w:w="2051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 xml:space="preserve">Read </w:t>
            </w:r>
            <w:r w:rsidRPr="006D5147">
              <w:rPr>
                <w:i/>
                <w:sz w:val="20"/>
                <w:szCs w:val="20"/>
              </w:rPr>
              <w:t>The Crucible</w:t>
            </w:r>
            <w:r w:rsidRPr="006D5147">
              <w:rPr>
                <w:sz w:val="20"/>
                <w:szCs w:val="20"/>
              </w:rPr>
              <w:t>, Act 4, Miller, 126-152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</w:tc>
      </w:tr>
      <w:tr w:rsidR="00DE317A" w:rsidRPr="006D5147" w:rsidTr="006F6677">
        <w:tc>
          <w:tcPr>
            <w:tcW w:w="835" w:type="pct"/>
          </w:tcPr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DD3905">
              <w:rPr>
                <w:rFonts w:ascii="Times New Roman" w:hAnsi="Times New Roman" w:cs="Times New Roman"/>
                <w:sz w:val="20"/>
                <w:szCs w:val="20"/>
              </w:rPr>
              <w:t>Mon. Oct. 13</w:t>
            </w:r>
          </w:p>
        </w:tc>
        <w:tc>
          <w:tcPr>
            <w:tcW w:w="2114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Resolution: Final Judgments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</w:tc>
        <w:tc>
          <w:tcPr>
            <w:tcW w:w="2051" w:type="pct"/>
          </w:tcPr>
          <w:p w:rsidR="00DE317A" w:rsidRPr="006D5147" w:rsidRDefault="00DE317A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Take-Home Crucible Short Essay Questions</w:t>
            </w:r>
            <w:r w:rsidR="00DD3905">
              <w:rPr>
                <w:sz w:val="20"/>
                <w:szCs w:val="20"/>
              </w:rPr>
              <w:t xml:space="preserve"> due Midnight</w:t>
            </w: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</w:tc>
      </w:tr>
      <w:tr w:rsidR="00DE317A" w:rsidRPr="006D5147" w:rsidTr="006F6677">
        <w:tc>
          <w:tcPr>
            <w:tcW w:w="835" w:type="pct"/>
          </w:tcPr>
          <w:p w:rsidR="00DD3905" w:rsidRDefault="00DD3905" w:rsidP="00DD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Oct 15</w:t>
            </w:r>
          </w:p>
          <w:p w:rsidR="00DE317A" w:rsidRDefault="00DD3905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Oct. 17</w:t>
            </w:r>
          </w:p>
          <w:p w:rsidR="00DE317A" w:rsidRPr="009B6AAB" w:rsidRDefault="00DE317A" w:rsidP="00D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D3905" w:rsidRDefault="00DD3905" w:rsidP="00DE317A">
            <w:pPr>
              <w:rPr>
                <w:sz w:val="20"/>
                <w:szCs w:val="20"/>
              </w:rPr>
            </w:pPr>
            <w:r w:rsidRPr="006D5147">
              <w:rPr>
                <w:sz w:val="20"/>
                <w:szCs w:val="20"/>
              </w:rPr>
              <w:t>Quarter 1 Reflection and Goal Setting</w:t>
            </w:r>
          </w:p>
          <w:p w:rsidR="00DD3905" w:rsidRDefault="00DD3905" w:rsidP="00DE317A">
            <w:pPr>
              <w:rPr>
                <w:sz w:val="20"/>
                <w:szCs w:val="20"/>
              </w:rPr>
            </w:pPr>
          </w:p>
          <w:p w:rsidR="00DE317A" w:rsidRPr="006D5147" w:rsidRDefault="00420CB6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Crucible Exam and Essay Test</w:t>
            </w:r>
          </w:p>
          <w:p w:rsidR="00DE317A" w:rsidRDefault="00DE317A" w:rsidP="00DE317A">
            <w:pPr>
              <w:rPr>
                <w:sz w:val="20"/>
                <w:szCs w:val="20"/>
              </w:rPr>
            </w:pPr>
          </w:p>
          <w:p w:rsidR="00DE317A" w:rsidRPr="006D5147" w:rsidRDefault="00DE317A" w:rsidP="00DE317A">
            <w:pPr>
              <w:rPr>
                <w:sz w:val="20"/>
                <w:szCs w:val="20"/>
              </w:rPr>
            </w:pPr>
          </w:p>
        </w:tc>
        <w:tc>
          <w:tcPr>
            <w:tcW w:w="2051" w:type="pct"/>
          </w:tcPr>
          <w:p w:rsidR="00DE317A" w:rsidRPr="006D5147" w:rsidRDefault="00420CB6" w:rsidP="00DE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Word Wall Poster</w:t>
            </w:r>
          </w:p>
        </w:tc>
      </w:tr>
    </w:tbl>
    <w:p w:rsidR="00246469" w:rsidRPr="006D5147" w:rsidRDefault="00246469" w:rsidP="00246469">
      <w:pPr>
        <w:rPr>
          <w:sz w:val="20"/>
          <w:szCs w:val="20"/>
        </w:rPr>
      </w:pPr>
    </w:p>
    <w:sectPr w:rsidR="00246469" w:rsidRPr="006D5147" w:rsidSect="002464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69"/>
    <w:rsid w:val="000E2018"/>
    <w:rsid w:val="001203B3"/>
    <w:rsid w:val="00137978"/>
    <w:rsid w:val="00191C87"/>
    <w:rsid w:val="00246469"/>
    <w:rsid w:val="002566D3"/>
    <w:rsid w:val="003F58D0"/>
    <w:rsid w:val="004153E3"/>
    <w:rsid w:val="00420CB6"/>
    <w:rsid w:val="005059C6"/>
    <w:rsid w:val="0066606A"/>
    <w:rsid w:val="00671378"/>
    <w:rsid w:val="006D5147"/>
    <w:rsid w:val="006F6677"/>
    <w:rsid w:val="00874AD6"/>
    <w:rsid w:val="00930962"/>
    <w:rsid w:val="00A07F0D"/>
    <w:rsid w:val="00A23A84"/>
    <w:rsid w:val="00A74654"/>
    <w:rsid w:val="00AC2A41"/>
    <w:rsid w:val="00B06B3D"/>
    <w:rsid w:val="00B31F18"/>
    <w:rsid w:val="00B41043"/>
    <w:rsid w:val="00B9114C"/>
    <w:rsid w:val="00BE0AD0"/>
    <w:rsid w:val="00D31018"/>
    <w:rsid w:val="00D74759"/>
    <w:rsid w:val="00DD3905"/>
    <w:rsid w:val="00DE317A"/>
    <w:rsid w:val="00E22FC5"/>
    <w:rsid w:val="00E54E26"/>
    <w:rsid w:val="00EA7C5E"/>
    <w:rsid w:val="00F2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AF50D-B508-4A13-A782-5B4760CB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4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2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northliterature@gmail.com" TargetMode="External"/><Relationship Id="rId5" Type="http://schemas.openxmlformats.org/officeDocument/2006/relationships/hyperlink" Target="mailto:afnorthliterature@gmail.com" TargetMode="External"/><Relationship Id="rId4" Type="http://schemas.openxmlformats.org/officeDocument/2006/relationships/hyperlink" Target="mailto:afnorthliteratu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Moriconi</cp:lastModifiedBy>
  <cp:revision>4</cp:revision>
  <dcterms:created xsi:type="dcterms:W3CDTF">2014-08-16T09:53:00Z</dcterms:created>
  <dcterms:modified xsi:type="dcterms:W3CDTF">2014-08-17T15:35:00Z</dcterms:modified>
</cp:coreProperties>
</file>